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E04" w:rsidRPr="006C0E04" w:rsidRDefault="006C0E04" w:rsidP="006C0E04">
      <w:bookmarkStart w:id="0" w:name="_GoBack"/>
      <w:bookmarkEnd w:id="0"/>
      <w:r w:rsidRPr="006C0E04">
        <w:t>Le tourisme responsable pourrait être une action économique bénéfique aux écosystèmes oasiens. La présente vidéo montre une expérience unique de développement par le biais du tourisme solidaire dans l'Oasis de Chenini, au sud de la Tunisie. Des exemples similaires sont conduits dans les oasis Nord-Africain et permettent un appui économique aux oasiens.</w:t>
      </w:r>
    </w:p>
    <w:sectPr w:rsidR="006C0E04" w:rsidRPr="006C0E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E04"/>
    <w:rsid w:val="0034564B"/>
    <w:rsid w:val="004E7537"/>
    <w:rsid w:val="006C0E04"/>
    <w:rsid w:val="008909E1"/>
    <w:rsid w:val="00CC2CC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A0E7D-8F81-45EC-BB01-783B4CC53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Words>
  <Characters>301</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2021-08-19T19:52:00Z</dcterms:created>
  <dcterms:modified xsi:type="dcterms:W3CDTF">2021-08-19T20:43:00Z</dcterms:modified>
</cp:coreProperties>
</file>